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1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936"/>
        </w:trPr>
        <w:tc>
          <w:tcPr>
            <w:tcW w:type="dxa" w:w="597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3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1426210" cy="431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431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5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58" w:after="0"/>
              <w:ind w:left="0" w:right="4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544829" cy="36195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361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N w:val="0"/>
        <w:autoSpaceDE w:val="0"/>
        <w:widowControl/>
        <w:spacing w:line="180" w:lineRule="auto" w:before="306" w:after="0"/>
        <w:ind w:left="30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Article </w:t>
      </w:r>
    </w:p>
    <w:p>
      <w:pPr>
        <w:autoSpaceDN w:val="0"/>
        <w:autoSpaceDE w:val="0"/>
        <w:widowControl/>
        <w:spacing w:line="180" w:lineRule="auto" w:before="118" w:after="0"/>
        <w:ind w:left="30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36"/>
        </w:rPr>
        <w:t xml:space="preserve">Fabrication of Antibacterial Poly(ethylene terephthalate)/ </w:t>
      </w:r>
    </w:p>
    <w:p>
      <w:pPr>
        <w:autoSpaceDN w:val="0"/>
        <w:autoSpaceDE w:val="0"/>
        <w:widowControl/>
        <w:spacing w:line="180" w:lineRule="auto" w:before="120" w:after="0"/>
        <w:ind w:left="30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36"/>
        </w:rPr>
        <w:t xml:space="preserve">Graphene Nanocomposite Fibers by In Situ Polymerization </w:t>
      </w:r>
    </w:p>
    <w:p>
      <w:pPr>
        <w:autoSpaceDN w:val="0"/>
        <w:autoSpaceDE w:val="0"/>
        <w:widowControl/>
        <w:spacing w:line="180" w:lineRule="auto" w:before="120" w:after="0"/>
        <w:ind w:left="30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36"/>
        </w:rPr>
        <w:t xml:space="preserve">for Fruit Preservation </w:t>
      </w:r>
    </w:p>
    <w:p>
      <w:pPr>
        <w:autoSpaceDN w:val="0"/>
        <w:autoSpaceDE w:val="0"/>
        <w:widowControl/>
        <w:spacing w:line="245" w:lineRule="auto" w:before="308" w:after="0"/>
        <w:ind w:left="30" w:right="576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Jiarui Wu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Qinhan Chen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Aobin Han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Min Liu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Wenhuan Zhong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Xiaojue Shao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2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Yan Jiang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2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Jing Lin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3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Zhenyang Luo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, Jie Yang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1,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* and Gefei Li </w:t>
      </w:r>
      <w:r>
        <w:rPr>
          <w:rFonts w:ascii="PalatinoLinotype,Bold" w:hAnsi="PalatinoLinotype,Bold" w:eastAsia="PalatinoLinotype,Bold"/>
          <w:b/>
          <w:i w:val="0"/>
          <w:color w:val="000000"/>
          <w:sz w:val="12"/>
        </w:rPr>
        <w:t>1,</w:t>
      </w: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* </w:t>
      </w:r>
    </w:p>
    <w:p>
      <w:pPr>
        <w:autoSpaceDN w:val="0"/>
        <w:tabs>
          <w:tab w:pos="2836" w:val="left"/>
        </w:tabs>
        <w:autoSpaceDE w:val="0"/>
        <w:widowControl/>
        <w:spacing w:line="245" w:lineRule="auto" w:before="414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0"/>
        </w:rPr>
        <w:t>1</w:t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 College of Science, Nanjing Forestry University, Long Pan Road No. 159, Nanjing 210037, China;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ruijiawu@njfu.edu.cn (J.W.); cqh.vict1238@njfu.edu.cn (Q.C.); hab.oslair@njfu.edu.cn (A.H.); </w:t>
      </w:r>
      <w:r>
        <w:br/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liumin@njfu.edu.cn (M.L.); 15850796961@njfu.edu.cn (W.Z.); luozhenyang@njfu.edu.cn (Z.L.) </w:t>
      </w:r>
      <w:r>
        <w:br/>
      </w:r>
      <w:r>
        <w:rPr>
          <w:rFonts w:ascii="PalatinoLinotype" w:hAnsi="PalatinoLinotype" w:eastAsia="PalatinoLinotype"/>
          <w:b w:val="0"/>
          <w:i w:val="0"/>
          <w:color w:val="000000"/>
          <w:sz w:val="10"/>
        </w:rPr>
        <w:t>2</w:t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 Highbery New Nano Materials Technology Co., Ltd., Changzhou 213000, China; sxj@highbery.cn (X.S.);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jy@highbery.cn (Y.J.) </w:t>
      </w:r>
      <w:r>
        <w:br/>
      </w:r>
      <w:r>
        <w:rPr>
          <w:rFonts w:ascii="PalatinoLinotype" w:hAnsi="PalatinoLinotype" w:eastAsia="PalatinoLinotype"/>
          <w:b w:val="0"/>
          <w:i w:val="0"/>
          <w:color w:val="000000"/>
          <w:sz w:val="10"/>
        </w:rPr>
        <w:t>3</w:t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 Nanjing Institute of Metrological Supervision and Testing, Ma Qun Avenue No. 10, Nanjing 210049, China;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linjing009@126.com </w:t>
      </w:r>
      <w:r>
        <w:br/>
      </w:r>
      <w:r>
        <w:rPr>
          <w:rFonts w:ascii="PalatinoLinotype,Bold" w:hAnsi="PalatinoLinotype,Bold" w:eastAsia="PalatinoLinotype,Bold"/>
          <w:b/>
          <w:i w:val="0"/>
          <w:color w:val="000000"/>
          <w:sz w:val="16"/>
        </w:rPr>
        <w:t>*</w:t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 Correspondence: jieyang@njfu.edu.cn (J.Y.); gefei@njfu.edu.cn (G.L.) </w:t>
      </w:r>
    </w:p>
    <w:p>
      <w:pPr>
        <w:autoSpaceDN w:val="0"/>
        <w:autoSpaceDE w:val="0"/>
        <w:widowControl/>
        <w:spacing w:line="180" w:lineRule="auto" w:before="316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20"/>
        </w:rPr>
        <w:t xml:space="preserve">Abstract </w:t>
      </w:r>
    </w:p>
    <w:p>
      <w:pPr>
        <w:autoSpaceDN w:val="0"/>
        <w:autoSpaceDE w:val="0"/>
        <w:widowControl/>
        <w:spacing w:line="245" w:lineRule="auto" w:before="196" w:after="38"/>
        <w:ind w:left="2592" w:right="0" w:firstLine="0"/>
        <w:jc w:val="center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 novel polyester/graphene nanocomposite fiber was produced using the in situ polymer-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ization protocol with carboxylated graphene and melt spinning technology. The resulting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nanocomposite fibers were characterized by X-ray diffraction (XRD), Raman spectros-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copy, differential scanning calorimeter (DSC), and scanning electron microscope (SEM).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The fibers containing 0.2 wt% graphene fraction showed an excellent dispersity of gra-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phene nanosheets in polymeric matrix. DSC test showed that the efficient polymer-chain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grafting depresses the crystallization of PET chains. This graphene-contained PET fabric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exhibited attractive antibacterial properties that can be employed in fruit preservation to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5284"/>
        <w:gridCol w:w="5284"/>
      </w:tblGrid>
      <w:tr>
        <w:trPr>
          <w:trHeight w:hRule="exact" w:val="926"/>
        </w:trPr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134" w:after="0"/>
              <w:ind w:left="20" w:right="0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Academic Editor: Artur J. M. Valente </w:t>
            </w:r>
          </w:p>
          <w:p>
            <w:pPr>
              <w:autoSpaceDN w:val="0"/>
              <w:autoSpaceDE w:val="0"/>
              <w:widowControl/>
              <w:spacing w:line="180" w:lineRule="auto" w:before="218" w:after="0"/>
              <w:ind w:left="20" w:right="0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Received: 16 June 2025 </w:t>
            </w:r>
          </w:p>
          <w:p>
            <w:pPr>
              <w:autoSpaceDN w:val="0"/>
              <w:autoSpaceDE w:val="0"/>
              <w:widowControl/>
              <w:spacing w:line="180" w:lineRule="auto" w:before="98" w:after="0"/>
              <w:ind w:left="20" w:right="0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Revised: 22 July 2025 </w:t>
            </w:r>
          </w:p>
        </w:tc>
        <w:tc>
          <w:tcPr>
            <w:tcW w:type="dxa" w:w="7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38" w:after="0"/>
              <w:ind w:left="162" w:right="0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ensure food safety. </w:t>
            </w:r>
          </w:p>
          <w:p>
            <w:pPr>
              <w:autoSpaceDN w:val="0"/>
              <w:autoSpaceDE w:val="0"/>
              <w:widowControl/>
              <w:spacing w:line="180" w:lineRule="auto" w:before="316" w:after="0"/>
              <w:ind w:left="0" w:right="0" w:firstLine="0"/>
              <w:jc w:val="center"/>
            </w:pP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20"/>
              </w:rPr>
              <w:t xml:space="preserve">Keywords: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graphene; nanocomposite fabric; in situ polymerization; food preservation </w:t>
            </w:r>
          </w:p>
        </w:tc>
      </w:tr>
    </w:tbl>
    <w:p>
      <w:pPr>
        <w:autoSpaceDN w:val="0"/>
        <w:autoSpaceDE w:val="0"/>
        <w:widowControl/>
        <w:spacing w:line="180" w:lineRule="auto" w:before="4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4"/>
        </w:rPr>
        <w:t xml:space="preserve">Accepted: 23 July 2025 </w:t>
      </w:r>
    </w:p>
    <w:p>
      <w:pPr>
        <w:autoSpaceDN w:val="0"/>
        <w:autoSpaceDE w:val="0"/>
        <w:widowControl/>
        <w:spacing w:line="180" w:lineRule="auto" w:before="98" w:after="158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4"/>
        </w:rPr>
        <w:t xml:space="preserve">Published: 24 July 2025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4962"/>
        </w:trPr>
        <w:tc>
          <w:tcPr>
            <w:tcW w:type="dxa" w:w="247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auto" w:before="60" w:after="0"/>
              <w:ind w:left="30" w:right="238" w:firstLine="0"/>
              <w:jc w:val="both"/>
            </w:pP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4"/>
              </w:rPr>
              <w:t>Citation: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 Wu, J.; Chen, Q.; Han, A.;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Liu, M.; Zhong, W.; Shao, X.; Jiang,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Y.; Lin, J.; Luo, Z.; Yang, J.; et al. </w:t>
            </w:r>
          </w:p>
          <w:p>
            <w:pPr>
              <w:autoSpaceDN w:val="0"/>
              <w:autoSpaceDE w:val="0"/>
              <w:widowControl/>
              <w:spacing w:line="286" w:lineRule="auto" w:before="98" w:after="0"/>
              <w:ind w:left="30" w:right="144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Fabrication of Antibacterial </w:t>
            </w:r>
            <w:r>
              <w:br/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Poly(ethylene terephthalate)/ </w:t>
            </w:r>
            <w:r>
              <w:br/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Graphene Nanocomposite Fibers by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In Situ Polymerization for Fruit </w:t>
            </w:r>
            <w:r>
              <w:br/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Preservation. 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4"/>
              </w:rPr>
              <w:t xml:space="preserve">Molecules 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4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, 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4"/>
              </w:rPr>
              <w:t>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, </w:t>
            </w:r>
            <w:r>
              <w:br/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3109. https://doi.org/10.3390/ </w:t>
            </w:r>
            <w:r>
              <w:br/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molecules30153109 </w:t>
            </w:r>
          </w:p>
          <w:p>
            <w:pPr>
              <w:autoSpaceDN w:val="0"/>
              <w:autoSpaceDE w:val="0"/>
              <w:widowControl/>
              <w:spacing w:line="286" w:lineRule="auto" w:before="218" w:after="0"/>
              <w:ind w:left="30" w:right="144" w:firstLine="0"/>
              <w:jc w:val="left"/>
            </w:pP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4"/>
              </w:rPr>
              <w:t>Copyright: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 © 2025 by the authors.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Licensee MDPI, Basel, Switzerland.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This article is an open access article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>distributed under the terms and con-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>ditions of the Creative Commons At-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>tribution (CC BY) license (https://cre-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4"/>
              </w:rPr>
              <w:t xml:space="preserve">ativecommons.org/licenses/by/4.0/). </w:t>
            </w:r>
          </w:p>
        </w:tc>
        <w:tc>
          <w:tcPr>
            <w:tcW w:type="dxa" w:w="808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118" w:after="0"/>
              <w:ind w:left="182" w:right="0" w:firstLine="0"/>
              <w:jc w:val="left"/>
            </w:pP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24"/>
              </w:rPr>
              <w:t xml:space="preserve">1. Introduction </w:t>
            </w:r>
          </w:p>
          <w:p>
            <w:pPr>
              <w:autoSpaceDN w:val="0"/>
              <w:autoSpaceDE w:val="0"/>
              <w:widowControl/>
              <w:spacing w:line="245" w:lineRule="auto" w:before="136" w:after="0"/>
              <w:ind w:left="182" w:right="0" w:firstLine="424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Graphene-polymer nanocomposites have drawn much attention, from laboratory re-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search to industrial production, due to their unique properties [1]. The 2D nanosheet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structures give traditional polymer materials many new features such as improved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strength, electroconductivity, thermal conductivity, low-temperature toughness, and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anti-bacterial properties. However, the extensive applications of graphene-hybrid mate-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rials are limited to uniformly dispersed graphene within a polymer matrix [2]. The tradi-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tional melt blending of plastic granules with graphene nanoparticles by an extruder al-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ways leads to agglomeration and poor dispersion owing to the high melt viscosity [3].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Mechanically noncovalent mixing also results in poor interaction between fillers and pol-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ymer matrix. To overcome this problem, the in situ polymerization technology has 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emerged and displayed more advantages in the large-scaled production of nanocompo-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sites with better dispersity in the form of covalent coupling [4]. In recent years, the chem-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>ical functionalization of nanoparticles has been used as reactive nanofillers for the pro-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20"/>
              </w:rPr>
              <w:t xml:space="preserve">duction of high-performance polymer composites [5]. For example, the graphene particles </w:t>
            </w:r>
          </w:p>
        </w:tc>
      </w:tr>
    </w:tbl>
    <w:p>
      <w:pPr>
        <w:autoSpaceDN w:val="0"/>
        <w:autoSpaceDE w:val="0"/>
        <w:widowControl/>
        <w:spacing w:line="14" w:lineRule="exact" w:before="0" w:after="152"/>
        <w:ind w:left="0" w:right="0"/>
      </w:pPr>
    </w:p>
    <w:p>
      <w:pPr>
        <w:sectPr>
          <w:pgSz w:w="11904" w:h="16840"/>
          <w:pgMar w:top="360" w:right="646" w:bottom="308" w:left="690" w:header="720" w:footer="720" w:gutter="0"/>
          <w:cols w:space="720" w:num="1" w:equalWidth="0"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180" w:lineRule="auto" w:before="0" w:after="0"/>
        <w:ind w:left="30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16"/>
        </w:rPr>
        <w:t>Molecules</w:t>
      </w:r>
      <w:r>
        <w:rPr>
          <w:rFonts w:ascii="PalatinoLinotype,Bold" w:hAnsi="PalatinoLinotype,Bold" w:eastAsia="PalatinoLinotype,Bold"/>
          <w:b/>
          <w:i w:val="0"/>
          <w:color w:val="000000"/>
          <w:sz w:val="16"/>
        </w:rPr>
        <w:t>2025</w:t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>,</w:t>
      </w:r>
      <w:r>
        <w:rPr>
          <w:rFonts w:ascii="PalatinoLinotype,Italic" w:hAnsi="PalatinoLinotype,Italic" w:eastAsia="PalatinoLinotype,Italic"/>
          <w:b w:val="0"/>
          <w:i/>
          <w:color w:val="000000"/>
          <w:sz w:val="16"/>
        </w:rPr>
        <w:t xml:space="preserve"> 30</w:t>
      </w: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, 3109 </w:t>
      </w:r>
    </w:p>
    <w:p>
      <w:pPr>
        <w:sectPr>
          <w:type w:val="continuous"/>
          <w:pgSz w:w="11904" w:h="16840"/>
          <w:pgMar w:top="360" w:right="646" w:bottom="308" w:left="690" w:header="720" w:footer="720" w:gutter="0"/>
          <w:cols w:space="720" w:num="2" w:equalWidth="0"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180" w:lineRule="auto" w:before="0" w:after="0"/>
        <w:ind w:left="0" w:right="32" w:firstLine="0"/>
        <w:jc w:val="right"/>
      </w:pPr>
      <w:r>
        <w:rPr>
          <w:rFonts w:ascii="PalatinoLinotype" w:hAnsi="PalatinoLinotype" w:eastAsia="PalatinoLinotype"/>
          <w:b w:val="0"/>
          <w:i w:val="0"/>
          <w:color w:val="000000"/>
          <w:sz w:val="16"/>
        </w:rPr>
        <w:t xml:space="preserve">https://doi.org/10.3390/molecules30153109 </w:t>
      </w:r>
    </w:p>
    <w:p>
      <w:pPr>
        <w:sectPr>
          <w:type w:val="nextColumn"/>
          <w:pgSz w:w="11904" w:h="16840"/>
          <w:pgMar w:top="360" w:right="646" w:bottom="308" w:left="690" w:header="720" w:footer="720" w:gutter="0"/>
          <w:cols w:space="720" w:num="2" w:equalWidth="0"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2 of 11 </w:t>
            </w:r>
          </w:p>
        </w:tc>
      </w:tr>
    </w:tbl>
    <w:p>
      <w:pPr>
        <w:autoSpaceDN w:val="0"/>
        <w:autoSpaceDE w:val="0"/>
        <w:widowControl/>
        <w:spacing w:line="245" w:lineRule="auto" w:before="560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were usually chemically functionalized via controlled edge oxidation to provide the reac-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tive carboxyl groups on nanofillers [6]. </w:t>
      </w:r>
    </w:p>
    <w:p>
      <w:pPr>
        <w:autoSpaceDN w:val="0"/>
        <w:autoSpaceDE w:val="0"/>
        <w:widowControl/>
        <w:spacing w:line="245" w:lineRule="auto" w:before="7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Poly(ethylene terephthalate) (PET) is one of the most widely used thermoplastic pol-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ymers. It was used in a variety of types from water bottles to product packaging [7].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melt-spun PET fiber was regarded as the most common polyester fiber used in textile in-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dustry due to its low production cost and excellent properties [8]. In recent years, PET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filled with layered nanomaterials has been attracting intensive attention because of greatly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improved performance, such as mechanical properties and impermeability of gas [9].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Wang et al. prepared a novel graphite nanoplatelet/PET nanocomposite for construction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of melt-spun fibers. Compared to native PET material, the hybrid nanocomposites were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found to decrease volume resistivity, which reinforcing its potential to be used in anti-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static textile [10]. Salavagione and co-workers developed a mechanically stable and con-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ductive graphene/PET textile by the dry-jet wet-spinning method from nanocomposite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solutions in trifluoracetic acid [11]. The inhibition of microbial strains was another inter-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esting ability of graphene-based polymer nanocomposites [12]. Currently, graphene/pol-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ymer nanocomposite films and coatings designed to inhibit bacterial growth are being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explored and investigated for the fabrication of antibacterial food packaging and protec-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tive clothing [13]. However, a few works focus on the applications of fabric materials with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antibacterial character. </w:t>
      </w:r>
    </w:p>
    <w:p>
      <w:pPr>
        <w:autoSpaceDN w:val="0"/>
        <w:autoSpaceDE w:val="0"/>
        <w:widowControl/>
        <w:spacing w:line="245" w:lineRule="auto" w:before="7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Furthermore, safe and intelligent packaging materials for food storage and transpor-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tation have attracted growing interest in recent years [14]. Fruits have a limited posthar-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vest lifespan due to their high nutritional and moisture content, making them susceptible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to decay and spoilage. Over one-third of fruits spoil annually, resulting in economic losses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amounting to several billions [15]. Functional packaging materials play a crucial role in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maintaining the freshness of harvested fruits and extending fruit aging, which can gener-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ate significant economic benefits [16]. At present, addition of antimicrobial agents into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packaging materials is usually used for inhibiting bacterial growth and preserving food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quality [17–20]. The enhanced thermal/electrical conductivity of 2D nanofiller-modified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composites also improves thermal management during storage and enables potential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smart packaging applications [21]. Incorporation of graphene nanosheets not only pro-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vides antibacterial properties but also enhances oxygen and moisture barrier perfor-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mance, thereby maximizing food preservation. In addition, MXene-based nanocompo-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sites show exceptional antibacterial activity and barrier properties, setting new bench-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marks for preservation materials [22]. However, graphene and graphene-based nanocom-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posites remain advantageous for scalable production. Unlike polylactic acid/carbon nano-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tubes/chitosan composite fibers by electrospinning process [23], melt-spun graphene/PET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fibers offer intrinsic, non-leaching antibacterial activity by in situ polymerization technol-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ogy. </w:t>
      </w:r>
    </w:p>
    <w:p>
      <w:pPr>
        <w:autoSpaceDN w:val="0"/>
        <w:autoSpaceDE w:val="0"/>
        <w:widowControl/>
        <w:spacing w:line="245" w:lineRule="auto" w:before="7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An ideal fruit packaging material should be cost-effective, non-toxic, environmen-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tally friendly, and possess both antibacterial and breathable properties [24]. Fruits natu-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rally produce carbon dioxide during storage, and excessive sealing with poor breathabil-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ity can accelerate decay. In fact, a proper oxygen gas exchange can suppress the growth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of anaerobic bacteria. Conventional packaging films often suffer from inadequate breath-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ability, while sprayed preservative coatings often leave residues due to incomplete clean-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ing [25]. Therefore, developing an antibacterial, breathable, lightweight and soft textile-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based material holds great promise for improving fruit preservation, helping to maintain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its quality and nutritional value. Unlike monolithic films, the woven structure of gra-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phene/PET fabric naturally enables gas exchange and humidity control through interfiber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gaps, preventing anaerobic conditions while maintaining antibacterial efficacy. In this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work, we utilized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situ polymerization to covalently incorporate carboxylated graphene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into PET, achieving superior dispersion and interfacial bonding compared to traditional </w:t>
      </w:r>
    </w:p>
    <w:p>
      <w:pPr>
        <w:sectPr>
          <w:pgSz w:w="11904" w:h="16840"/>
          <w:pgMar w:top="386" w:right="646" w:bottom="520" w:left="690" w:header="720" w:footer="720" w:gutter="0"/>
          <w:cols w:space="720" w:num="1" w:equalWidth="0"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3 of 11 </w:t>
            </w:r>
          </w:p>
        </w:tc>
      </w:tr>
    </w:tbl>
    <w:p>
      <w:pPr>
        <w:autoSpaceDN w:val="0"/>
        <w:autoSpaceDE w:val="0"/>
        <w:widowControl/>
        <w:spacing w:line="245" w:lineRule="auto" w:before="560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melt-blending methods. Thereafter, the graphene/PET fibers were spun with the polymer-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ized nanocomposites through a double-screw melt spinning machine. The resulting nano-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composite fibers exhibit excellent thermal stability, reduced crystallization defects, and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significant antibacterial activity against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Escherichia coli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and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Proteus vulgaris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. The gra-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phene/PET fabric extended the lifetime of strawberries, demonstrating its potential as an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eco-friendly, breathable, and non-toxic packaging material for perishable foods. </w:t>
      </w:r>
    </w:p>
    <w:p>
      <w:pPr>
        <w:autoSpaceDN w:val="0"/>
        <w:autoSpaceDE w:val="0"/>
        <w:widowControl/>
        <w:spacing w:line="180" w:lineRule="auto" w:before="320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24"/>
        </w:rPr>
        <w:t xml:space="preserve">2. Results </w:t>
      </w:r>
    </w:p>
    <w:p>
      <w:pPr>
        <w:autoSpaceDN w:val="0"/>
        <w:autoSpaceDE w:val="0"/>
        <w:widowControl/>
        <w:spacing w:line="180" w:lineRule="auto" w:before="136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2.1. Preparation of Graphene/PET Nanocomposite Fibers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Currently, graphene-based nanocomposite materials in use are mostly prepared by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physical mixing, in which the polymers and graphene are directly mixed through me-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chanical processing. Mechanical mixing is easy to operate. However, this method always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results poor dispersity of nanofiller. In situ polymerization is an effective alternative tech-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nique for the formulation of highly dispersed graphene in a polymer matrix. This process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involves the polymerization of monomers in the presence of the reactive layered materi-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als. The in situ co-polymerization technology was therefore applied in our work, affording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the covalently coupled graphene/PET nanocomposites. In detail, the carboxyl-functional-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ized graphene (0.2 wt%) as a crosslinking agent was reacted with EG and PTA to generate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the in situ polymerization products. After extrusion, granulation, and melt-spinning pro-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cesses, the final nanocomposite fabric was fabricated (Figure 1). According to the chemical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structure of graphene oxide, more carboxyl groups were covalently modified on its sur-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face to provide the reactive sites for the subsequent polycondensation. Furthermore,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functionalized graphene sheets were homogeneously dispersed in PET matrix through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the in situ generation of grafted PET arms on graphene surfaces. Finally, the nanocompo-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site fibers and the flowing fabric were prepared by melt-spinning process with 0.2 wt%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graphene loading. Herein, it should be noted that higher loading of graphene will nega-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tively impact melt spinning, including spinneret blockage. During the melt spinning pro-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cess, the melt pump pressure was consistently maintained below 20 MPa. This excellent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spinnability, in turn, demonstrates the good dispersion of graphene particles in the PET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matrix. </w:t>
      </w:r>
    </w:p>
    <w:p>
      <w:pPr>
        <w:autoSpaceDN w:val="0"/>
        <w:autoSpaceDE w:val="0"/>
        <w:widowControl/>
        <w:spacing w:line="240" w:lineRule="auto" w:before="236" w:after="0"/>
        <w:ind w:left="263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831080" cy="3322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322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180" w:lineRule="auto" w:before="210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1.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Synthesis of graphene/PET nanocomposites by in situ polymerization. </w:t>
      </w:r>
    </w:p>
    <w:p>
      <w:pPr>
        <w:sectPr>
          <w:pgSz w:w="11904" w:h="16840"/>
          <w:pgMar w:top="386" w:right="646" w:bottom="468" w:left="690" w:header="720" w:footer="720" w:gutter="0"/>
          <w:cols w:space="720" w:num="1" w:equalWidth="0"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4 of 11 </w:t>
            </w:r>
          </w:p>
        </w:tc>
      </w:tr>
    </w:tbl>
    <w:p>
      <w:pPr>
        <w:autoSpaceDN w:val="0"/>
        <w:autoSpaceDE w:val="0"/>
        <w:widowControl/>
        <w:spacing w:line="180" w:lineRule="auto" w:before="560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2.2. Structure and Morphology of the Nanocomposite Fibers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Typical micrographs of the carboxylated graphene samples are shown in Figure 2,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which appears to have some very thin platelets present in the SEM images (Figure 2a),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showing the typical 2D structure of graphene samples. As shown in Figure 2b, the TEM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image gave a more distinct observation of the nanosheet morphology of the carboxylated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graphene used in our experiment. AFM images of graphene were recorded and presented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Figure 2c to further observe its morphology and the thickness. It was shown that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vertical distances of the edge of dispersant-free suspension were 1.3 nm, which is charac-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teristic of a single-layer graphene nanosheet. </w:t>
      </w:r>
    </w:p>
    <w:p>
      <w:pPr>
        <w:autoSpaceDN w:val="0"/>
        <w:autoSpaceDE w:val="0"/>
        <w:widowControl/>
        <w:spacing w:line="245" w:lineRule="auto" w:before="78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To characterize the morphologies of melt-spun graphene/PET fibers, FE-SEM images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of the surfaces of PET fibers were examined. As shown in Figure 3, the relatively rough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surface was noted on the surface of nanocomposites (Figure 3a–c). The magnified imagi-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nes were further recorded to reveal the nanosheet structure of graphene on the fiber sur-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face (Figure 3d–f). The antibacterial performance can be attributed to this unique nano-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composite structure with a contact antibacterial mechanism [26]. </w:t>
      </w:r>
    </w:p>
    <w:p>
      <w:pPr>
        <w:autoSpaceDN w:val="0"/>
        <w:autoSpaceDE w:val="0"/>
        <w:widowControl/>
        <w:spacing w:line="240" w:lineRule="auto" w:before="238" w:after="0"/>
        <w:ind w:left="263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596130" cy="250444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504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5" w:lineRule="auto" w:before="20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2.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The micrographs of the carboxylated graphene samples: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a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) SEM image,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b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) TEM image,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c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) AFM height image. </w:t>
      </w:r>
    </w:p>
    <w:p>
      <w:pPr>
        <w:autoSpaceDN w:val="0"/>
        <w:autoSpaceDE w:val="0"/>
        <w:widowControl/>
        <w:spacing w:line="240" w:lineRule="auto" w:before="236" w:after="0"/>
        <w:ind w:left="263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974589" cy="221233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4589" cy="22123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5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3.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FE-SEM images of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a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–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c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) surface and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d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–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f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) magnified morphologies of graphene/PET nano-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composite fibers. </w:t>
      </w:r>
    </w:p>
    <w:p>
      <w:pPr>
        <w:sectPr>
          <w:pgSz w:w="11904" w:h="16840"/>
          <w:pgMar w:top="386" w:right="646" w:bottom="902" w:left="690" w:header="720" w:footer="720" w:gutter="0"/>
          <w:cols w:space="720" w:num="1" w:equalWidth="0"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5 of 11 </w:t>
            </w:r>
          </w:p>
        </w:tc>
      </w:tr>
    </w:tbl>
    <w:p>
      <w:pPr>
        <w:autoSpaceDN w:val="0"/>
        <w:autoSpaceDE w:val="0"/>
        <w:widowControl/>
        <w:spacing w:line="245" w:lineRule="auto" w:before="560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The presence of graphene in PET composites was further revealed by XRD patterns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(Figure 4a) and Raman spectroscopy (Figure 4b). The fiber sample exhibited a broad char-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acteristic diffraction peak at 2θ = 13.6°, corresponding to the (001) crystal plane of GO.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peaks at 29.8° and 41.9° were attributed to the (002) plane of GO [27]. These results confirm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the presence of graphene in the PET fiber sample. In addition, the typical structure of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graphene can be reflected in the Raman spectra (Figure S1), in which the G peak as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feature at 1584 cm</w:t>
      </w:r>
      <w:r>
        <w:rPr>
          <w:rFonts w:ascii="PalatinoLinotype" w:hAnsi="PalatinoLinotype" w:eastAsia="PalatinoLinotype"/>
          <w:b w:val="0"/>
          <w:i w:val="0"/>
          <w:color w:val="000000"/>
          <w:sz w:val="12"/>
        </w:rPr>
        <w:t>−1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and a D band at 1361 cm</w:t>
      </w:r>
      <w:r>
        <w:rPr>
          <w:rFonts w:ascii="PalatinoLinotype" w:hAnsi="PalatinoLinotype" w:eastAsia="PalatinoLinotype"/>
          <w:b w:val="0"/>
          <w:i w:val="0"/>
          <w:color w:val="000000"/>
          <w:sz w:val="12"/>
        </w:rPr>
        <w:t>−1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are present [28]. Herein, the G peak (Gra-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phitic peak) and D peak (Disordered peak) in Raman spectroscopy are key characteristic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peaks for analyzing the structure of graphene. They reflect the degree of carbon atom or-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dering and defects in the material. Specifically, the G peak indicates the graphitic ordered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structure, while the D peak primarily reflects structural disorder, such as in graphene ox-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ide where the D peak is prominent. In contrast, monolayer graphene exhibits a strong 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peak. As shown in the Figure 4b, the fiber sample exhibits multiple vibration peaks, sug-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gesting the possible presence of various substances. Among them, the peak near 1580 cm</w:t>
      </w:r>
      <w:r>
        <w:rPr>
          <w:rFonts w:ascii="PalatinoLinotype" w:hAnsi="PalatinoLinotype" w:eastAsia="PalatinoLinotype"/>
          <w:b w:val="0"/>
          <w:i w:val="0"/>
          <w:color w:val="000000"/>
          <w:sz w:val="12"/>
        </w:rPr>
        <w:t xml:space="preserve">−1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corresponds to the G-band of carbon materials, indicating the existence of graphene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sheets. The peak around 1614 cm</w:t>
      </w:r>
      <w:r>
        <w:rPr>
          <w:rFonts w:ascii="PalatinoLinotype" w:hAnsi="PalatinoLinotype" w:eastAsia="PalatinoLinotype"/>
          <w:b w:val="0"/>
          <w:i w:val="0"/>
          <w:color w:val="000000"/>
          <w:sz w:val="12"/>
        </w:rPr>
        <w:t>−1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is characteristic of peaks of aromatic structures, likely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attributable to PET chains. Additionally, the peak at 1727 cm</w:t>
      </w:r>
      <w:r>
        <w:rPr>
          <w:rFonts w:ascii="PalatinoLinotype" w:hAnsi="PalatinoLinotype" w:eastAsia="PalatinoLinotype"/>
          <w:b w:val="0"/>
          <w:i w:val="0"/>
          <w:color w:val="000000"/>
          <w:sz w:val="12"/>
        </w:rPr>
        <w:t>−1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is assigned to the C=O (car-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bonyl) stretching vibration, which may arise from esters or carboxylic acids present in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sample. These results also suggest that the PET fiber sample contains trace amounts of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graphene. </w:t>
      </w:r>
    </w:p>
    <w:p>
      <w:pPr>
        <w:autoSpaceDN w:val="0"/>
        <w:autoSpaceDE w:val="0"/>
        <w:widowControl/>
        <w:spacing w:line="240" w:lineRule="auto" w:before="242" w:after="0"/>
        <w:ind w:left="263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937759" cy="21513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7759" cy="21513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4.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XRD and Raman survey of graphene/PET nanocomposite: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a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) XRD pattern,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b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) Raman </w:t>
      </w:r>
    </w:p>
    <w:p>
      <w:pPr>
        <w:autoSpaceDN w:val="0"/>
        <w:autoSpaceDE w:val="0"/>
        <w:widowControl/>
        <w:spacing w:line="182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spectrum. </w:t>
      </w:r>
    </w:p>
    <w:p>
      <w:pPr>
        <w:autoSpaceDN w:val="0"/>
        <w:autoSpaceDE w:val="0"/>
        <w:widowControl/>
        <w:spacing w:line="180" w:lineRule="auto" w:before="314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2.3. Thermal Analysis of the Nanocomposite Fibers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It is noteworthy that the thermal stability of nanocomposite was similar to that of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pure PET. Thermal analysis curves of PET and graphene/PET samples are presented in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Figure 5. The TG curve (Figure 5a) of PET exhibited significant weight loss between 400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and 450 °C, which was assigned to thermal decomposition [29]. The smaller weight loss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of graphene/PET was attributed to the hybrid graphene particles in polymer matrix.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DSC curve of two samples, presented in Figure 5b, shows an exothermic peak at ca. 130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°C assigned to PET crystallization and the endothermic peaks at ca. 245 °C and 257 °C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assigned to the melting of the graphene/PET and PET polymers, respectively. Semi-crys-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talline PET can undergo a process during a thermal ramp known as cold crystallization,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which results in an exothermic peak above the Tg but below the melt Tm [30]. The high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degree of amorphous content of PET can be observed by the relatively large cold crystal-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lization peak. This indicates the large volume of amorphous polymer which was available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to align and crystalize during the thermal ramp. It is interesting to note that the peak of </w:t>
      </w:r>
    </w:p>
    <w:p>
      <w:pPr>
        <w:sectPr>
          <w:pgSz w:w="11904" w:h="16840"/>
          <w:pgMar w:top="386" w:right="646" w:bottom="594" w:left="690" w:header="720" w:footer="720" w:gutter="0"/>
          <w:cols w:space="720" w:num="1" w:equalWidth="0">
            <w:col w:w="10568" w:space="0"/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5"/>
        <w:gridCol w:w="5285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6 of 11 </w:t>
            </w:r>
          </w:p>
        </w:tc>
      </w:tr>
    </w:tbl>
    <w:p>
      <w:pPr>
        <w:autoSpaceDN w:val="0"/>
        <w:autoSpaceDE w:val="0"/>
        <w:widowControl/>
        <w:spacing w:line="245" w:lineRule="auto" w:before="560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cold crystallization disappeared for the graphene-hybrid PET samples. Compared to un-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modified PET, the molecular chain regularity of graphene-modified PET is disrupted due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to its lower chain flexibility, which also cause its lower melting point. This accelerates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mobility and motion speed of the molecular chains, leading to faster crystallization rates.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Under the same cooling crystallization rate, the molecular chains of graphene-modified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PET can more completely embed into the crystal lattice, and the polymer chains have suf-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ficient time to adjust their conformations and fully align into the lattice, resulting in fewer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crystallization defects and making the melting process less prone to cold crystallization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[31]. Therefore, compared to unmodified PET, the cold crystallization peak disappears in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graphene-modified PET. While graphene oxide (GO) has been widely studied in PET com-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posites, its dispersion remains challenging via conventional melt blending. Our in situ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polymerization technique ensures uniform GO distribution. Notably, the suppressed cold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crystallization contrasts with nucleation-dominated effects reported in physically blended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systems, suggesting that grafted PET chains restrict molecular mobility. </w:t>
      </w:r>
    </w:p>
    <w:p>
      <w:pPr>
        <w:autoSpaceDN w:val="0"/>
        <w:autoSpaceDE w:val="0"/>
        <w:widowControl/>
        <w:spacing w:line="240" w:lineRule="auto" w:before="242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50790" cy="189865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1898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180" w:lineRule="auto" w:before="210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5.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Thermal analysis for graphene/PET materials and PET materials: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a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) thermal degradation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curves; (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b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) DSC thermograms. </w:t>
      </w:r>
    </w:p>
    <w:p>
      <w:pPr>
        <w:autoSpaceDN w:val="0"/>
        <w:autoSpaceDE w:val="0"/>
        <w:widowControl/>
        <w:spacing w:line="180" w:lineRule="auto" w:before="318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2.4. Antibacterial Activity and Fruit Preservation Using the Nanocomposite Fabric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As mentioned previously, one of the primary purposes of adding graphene into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polymer matrix is to enhance the antibacterial activity of their generated nanocomposites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[32]. To assess its antibacterial properties, two kinds of representative strain including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Escherichia coli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(EC) and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Proteus vulgaris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(PV) were used as the model bacteria. As shown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Figure 6, graphene/PET fiber exhibits an antibacterial ability toward EC and PV. To be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more specific, nanocomposite fiber killed ~70% EC, and ~60% PV. Uniform dispersion of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graphene in the PET fiber brought the attractive antibacterial properties of textile materi-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als, which thereby favor packaging material for fruits. In comparison, pure PET fiber fab-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ric exhibits no antibacterial activity. </w:t>
      </w:r>
    </w:p>
    <w:p>
      <w:pPr>
        <w:autoSpaceDN w:val="0"/>
        <w:autoSpaceDE w:val="0"/>
        <w:widowControl/>
        <w:spacing w:line="245" w:lineRule="auto" w:before="7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Next, the graphene/PET fabrics were used for strawberry preservation. Fresh straw-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berry samples were divided into three groups and stored under refrigerated conditions.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Among these, the control group consisted of unwrapped samples, the second group was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wrapped with plain PET fabric, and the third group was wrapped with graphene/PET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fabric. Observations and photographs were taken at 24 h intervals. The appearance and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quality changes of strawberry during storage for 14 days at 4 °C were studied. As shown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Figure 7, the appearances of the strawberries packaged with graphene/PET fabric were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much better than others. Specifically, the strawberry samples were individually sealed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with different types of fabrics and stored under refrigeration. The antimicrobial activities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of GO and its composite have been well reported through the production of highly reac-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tive oxygen species (ROS) under light or in aqueous environments [33]. Prior to packag-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ing, the fabrics were exposed to UV irradiation for 10 min to enhance their antibacterial </w:t>
      </w:r>
    </w:p>
    <w:p>
      <w:pPr>
        <w:sectPr>
          <w:pgSz w:w="11904" w:h="16840"/>
          <w:pgMar w:top="386" w:right="644" w:bottom="518" w:left="690" w:header="720" w:footer="720" w:gutter="0"/>
          <w:cols w:space="720" w:num="1" w:equalWidth="0">
            <w:col w:w="10570" w:space="0"/>
            <w:col w:w="10568" w:space="0"/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3"/>
        <w:gridCol w:w="5283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7 of 11 </w:t>
            </w:r>
          </w:p>
        </w:tc>
      </w:tr>
    </w:tbl>
    <w:p>
      <w:pPr>
        <w:autoSpaceDN w:val="0"/>
        <w:autoSpaceDE w:val="0"/>
        <w:widowControl/>
        <w:spacing w:line="245" w:lineRule="auto" w:before="560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properties, as graphene nanocomposites exhibits significantly improved antimicrobial ac-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tivity under UV-induced oxidative stress [34]. In the control group (unwrapped strawber-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ries), visible mildew and spoilage appeared at day 8. The group wrapped with unmodi-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fied PET fabric began showing mildew at day 10, whereas the graphene-modified polyes-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ter fabric delayed spoilage until day 14. Obviously, the antibacterial effect of the fabric can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better resist the infection of foreign pathogens. These results demonstrate that the in situ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polymerized graphene/PET fabric effectively inhibits microbial growth and significantly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extends the shelf life of strawberries. </w:t>
      </w:r>
    </w:p>
    <w:p>
      <w:pPr>
        <w:autoSpaceDN w:val="0"/>
        <w:autoSpaceDE w:val="0"/>
        <w:widowControl/>
        <w:spacing w:line="240" w:lineRule="auto" w:before="242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016500" cy="184912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84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180" w:lineRule="auto" w:before="214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6.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Antibacterial properties of graphene/PET materials and pure PET materials. </w:t>
      </w:r>
    </w:p>
    <w:p>
      <w:pPr>
        <w:autoSpaceDN w:val="0"/>
        <w:autoSpaceDE w:val="0"/>
        <w:widowControl/>
        <w:spacing w:line="240" w:lineRule="auto" w:before="234" w:after="0"/>
        <w:ind w:left="263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507230" cy="405384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405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182" w:lineRule="auto" w:before="206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Figure 7.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Photos of different fruits uncovered or covered with PET fabric, or graphene/PET fabric,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respectively, for 14 days at 4 °C conditions. </w:t>
      </w:r>
    </w:p>
    <w:p>
      <w:pPr>
        <w:sectPr>
          <w:pgSz w:w="11904" w:h="16840"/>
          <w:pgMar w:top="386" w:right="648" w:bottom="1120" w:left="690" w:header="720" w:footer="720" w:gutter="0"/>
          <w:cols w:space="720" w:num="1" w:equalWidth="0">
            <w:col w:w="10566" w:space="0"/>
            <w:col w:w="10570" w:space="0"/>
            <w:col w:w="10568" w:space="0"/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308"/>
        <w:gridCol w:w="5308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8 of 11 </w:t>
            </w:r>
          </w:p>
        </w:tc>
      </w:tr>
    </w:tbl>
    <w:p>
      <w:pPr>
        <w:autoSpaceDN w:val="0"/>
        <w:autoSpaceDE w:val="0"/>
        <w:widowControl/>
        <w:spacing w:line="180" w:lineRule="auto" w:before="562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24"/>
        </w:rPr>
        <w:t xml:space="preserve">3. Materials and Methods </w:t>
      </w:r>
    </w:p>
    <w:p>
      <w:pPr>
        <w:autoSpaceDN w:val="0"/>
        <w:autoSpaceDE w:val="0"/>
        <w:widowControl/>
        <w:spacing w:line="180" w:lineRule="auto" w:before="136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3.1. Chemicals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Terephthalate acid (PTA) was provided by Hengyi Petrochemical Co., Ltd. (Hang-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zhou, China). Ethylene glycol (EG) was supplied by Liaoyang Petrochemical Co., Ltd.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(Liaoyang, China). Graphene oxides were offered by Jinan Shengquan Group Holding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Co., Ltd. (Jinan, China). The recycled PET granules were supplied by Jiangsu Shenghong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Petrochemical Group (Suzhou, China). Other commercially available compounds were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used without further purification. </w:t>
      </w:r>
    </w:p>
    <w:p>
      <w:pPr>
        <w:autoSpaceDN w:val="0"/>
        <w:autoSpaceDE w:val="0"/>
        <w:widowControl/>
        <w:spacing w:line="180" w:lineRule="auto" w:before="316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3.2. Synthesis of Graphene/PET Nanocomposites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The carboxylation of graphene oxide (GO) was carried out firstly to increase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amount of reactive sites on the surface of graphene for the next copolymerization [35].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Briefly, the GO (2.0 g) was dispersed in 3M sodium hydroxide solution (10 mL) followed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by the addition of chloroacetic acid (1.8 g). The resulting suspension was bath sonicated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for 2 h. The mixture was then stirred at room temperature overnight and filtered. The GO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was collected and dispersed in water (10 mL), sonicated in a water bath and filtered again.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This sequence was repeated 3 times with water and 3 times with methanol. The resulting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solid was dispersed in water and the suspension was dialyzed in water for 3 days. After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lyophilization, carboxylated graphene (cGO) was obtained. The functionalized cGO was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pre-dispersed in the EG solution by constant ultra-sonication. The polycondensation was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carried out in a 5L reactor with the feed molar ratio of EG:PTA:cGO (1.6:1.0:0.002) in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presence of titanium catalyst (0.06 wt%). The resulting mixture was heated to 255 °C to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allow the esterification reaction to proceed for 3 h. Next, vacuum was applied and ad-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justed to gradually decrease the pressure to 18 kPa while the reaction temperature was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increased to 275 °C for 4.5 h until the intrinsic viscosity reached 1.08 dL/g. Finally,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graphene/PET nanocomposites were obtained through extrusion and granulation for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manufacturing polyester yarns (Figure 1). After, the extruder barrel was heated to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temperature of 270 °C. The graphene/PET was maintained in the barrel at 270 °C with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very low screw speed for 15 min to achieve a complete melting. The screw speed of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extruder was adjusted to 10 rpm in order to obtain a homogenous spread of melted PET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the extruder barrel. Then, the speed of the screw was increased to 50 rpm to extrude the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entire PET from the extruder. </w:t>
      </w:r>
    </w:p>
    <w:p>
      <w:pPr>
        <w:autoSpaceDN w:val="0"/>
        <w:autoSpaceDE w:val="0"/>
        <w:widowControl/>
        <w:spacing w:line="180" w:lineRule="auto" w:before="316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3.3. Characterization Methods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Intrinsic viscosity was tested by a Ubbelohde viscometer at 25 °C with a mixture of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phenol and 1,1,2,2-tetrachloroethane (1:1,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w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/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w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) as solvent. AFM was recorded on a Bruker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atomic force microscopy (AFM) in tapping mode. Differential scanning calorimetry (DSC)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was performed on TA Q2000 (New Castle, DE, USA) using nitrogen gas blowing, with a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temperature range of 30 to 350 °C and a heating rate of 10 K/min. TGA was performed on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Rigaku TG/DTA 8122 (Akishima, Japan). Samples were heated from 30 °C to 600 °C at a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heating rate of 20 °C/min under a nitrogen atmosphere. The morphologies of gra-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phene/PET nanocomposite fibers were observed using a Nova NanoSEM 450 scanning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electron microscope (FEI, Hillsboro, OR, USA). The samples were coated with gold using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 sputter coater. TEM was recorded on the ThermoFisher Scientific (Talos F200S, Waltham,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MA, USA). Raman spectroscopy was recorded using LabRAM Odyssey (Horiba, Kyoto,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Japan). XRD was characterized using Smartlab SE (Rigaku) which was operated with Cu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Ka radiation (k = 1.5405 Å) at 40 kV and 30 mA. Fourier transform infrared spectrometer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(FT-IR) was recorded on Bruker ALPHA II (Billerica, MA, USA). </w:t>
      </w:r>
    </w:p>
    <w:p>
      <w:pPr>
        <w:sectPr>
          <w:pgSz w:w="11904" w:h="16840"/>
          <w:pgMar w:top="386" w:right="598" w:bottom="838" w:left="690" w:header="720" w:footer="720" w:gutter="0"/>
          <w:cols w:space="720" w:num="1" w:equalWidth="0">
            <w:col w:w="10616" w:space="0"/>
            <w:col w:w="10566" w:space="0"/>
            <w:col w:w="10570" w:space="0"/>
            <w:col w:w="10568" w:space="0"/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4"/>
        <w:gridCol w:w="5284"/>
      </w:tblGrid>
      <w:tr>
        <w:trPr>
          <w:trHeight w:hRule="exact" w:val="268"/>
        </w:trPr>
        <w:tc>
          <w:tcPr>
            <w:tcW w:type="dxa" w:w="583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69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9 of 11 </w:t>
            </w:r>
          </w:p>
        </w:tc>
      </w:tr>
    </w:tbl>
    <w:p>
      <w:pPr>
        <w:autoSpaceDN w:val="0"/>
        <w:autoSpaceDE w:val="0"/>
        <w:widowControl/>
        <w:spacing w:line="180" w:lineRule="auto" w:before="560" w:after="0"/>
        <w:ind w:left="2638" w:right="0" w:firstLine="0"/>
        <w:jc w:val="left"/>
      </w:pP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 xml:space="preserve">3.4. In Vitro Antibacterial Assay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The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Escherichia coli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(EC) and </w:t>
      </w:r>
      <w:r>
        <w:rPr>
          <w:rFonts w:ascii="PalatinoLinotype,Italic" w:hAnsi="PalatinoLinotype,Italic" w:eastAsia="PalatinoLinotype,Italic"/>
          <w:b w:val="0"/>
          <w:i/>
          <w:color w:val="000000"/>
          <w:sz w:val="20"/>
        </w:rPr>
        <w:t>Proteus vulgaris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 (PV) were obtained from BeNa Culture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Collection (BNCC, Kunshan, China). The bacteria were cultured in a Luria–Bertani (LB)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medium for 24 h at 37 °C, 150 r/min. For antimicrobial test, the bacterial suspension after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gradient dilution was co-incubated for 0.5 h at 37 °C with 5.0 mg of fabric sample (ultra-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violet irradiation for 10 min), 20% sodium hypochlorite solution as the positive control,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and normal saline as the negative control. Then, the bacterial suspension was cultured for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24 h, and the CFU count was performed. </w:t>
      </w:r>
    </w:p>
    <w:p>
      <w:pPr>
        <w:autoSpaceDN w:val="0"/>
        <w:autoSpaceDE w:val="0"/>
        <w:widowControl/>
        <w:spacing w:line="180" w:lineRule="auto" w:before="320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24"/>
        </w:rPr>
        <w:t xml:space="preserve">4. Conclusions </w:t>
      </w:r>
    </w:p>
    <w:p>
      <w:pPr>
        <w:autoSpaceDN w:val="0"/>
        <w:autoSpaceDE w:val="0"/>
        <w:widowControl/>
        <w:spacing w:line="245" w:lineRule="auto" w:before="136" w:after="0"/>
        <w:ind w:left="2638" w:right="0" w:firstLine="424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this work, the graphene/PET nanocomposite fibers were successfully produced by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in situ polymerization of EG and PTA in the presence of carboxylated graphene (cGO).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The efficient polymer-chain grafting achieves good dispersion of nanoparticles in PET ma-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trix. The homogenous PET matrix nanocomposites containing 0.2 wt% graphene showed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a good spinnability in the melt spinning process. Covalent grafting of PET chains onto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cGO nanosheets ensures uniform dispersion in the PET matrix, overcoming aggregation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issues of melt blending. Furthermore, we prepared graphene/PET fibers by melt-spinning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process to produce the antibacterial PET fibers. The obtained nanocomposite textiles ex-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hibit &gt;60% bacterial reduction via contact-killing and ROS generation. It was noted that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graphene/PET fabrics can significantly extend the shelf life of strawberries to 14 days at 4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°C. In comparison, unwrapped strawberries last only 8 days, while those wrapped in pure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PET only remain fresh for 10 days. This work establishes a strategy for designing high-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performance nanocomposites where covalent integration of functionalized nanofillers op-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timizes structural, thermal, and antimicrobial properties. Further applications of the gra-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phene-hybrid fibers and preparation to other graphene-modified polymer composites by 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>in situ</w:t>
      </w:r>
      <w:r>
        <w:rPr>
          <w:rFonts w:ascii="PalatinoLinotype" w:hAnsi="PalatinoLinotype" w:eastAsia="PalatinoLinotype"/>
          <w:b w:val="0"/>
          <w:i w:val="0"/>
          <w:color w:val="000000"/>
          <w:sz w:val="20"/>
        </w:rPr>
        <w:t xml:space="preserve">polymerization are in progress. </w:t>
      </w:r>
    </w:p>
    <w:p>
      <w:pPr>
        <w:autoSpaceDN w:val="0"/>
        <w:autoSpaceDE w:val="0"/>
        <w:widowControl/>
        <w:spacing w:line="180" w:lineRule="auto" w:before="33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Supplementary Materials: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The following supporting information can be downloaded at: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https://www.mdpi.com/article/10.3390/molecules30153109/s1. Figure S1: Raman spectra of the car-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boxylated graphene; Table S1: Analysis of carboxyl group content in graphene samples; Figure S2: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DTG spectra of the graphene/PET nanocomposite fiber; Table S2: Physical properties of the gra-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phene/PET nanocomposite fiber; Figure S3: Optical microscopy images of the nanocomposite fibers;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Figure S4: TEM images of the graphene structures on nanocomposite fibers; Figure S5: Comparative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infrared spectra of pure PET (0 %) and graphene/PET nanocomposite (0.2%). </w:t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Author Contributions: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Graphene/PET fiber synthesis, X.S., Y.J. and Z.L.; In vitro antibacterial assay,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J.L.; Thermal analysis, W.Z.; XRD and Raman test, A.H. and M.L.; Fruit preservation, J.W. and Q.C.;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Writing—Original Draft Preparation, J.W. and G.L.; Review &amp; Editing, J.Y.; Supervision, J.Y. and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G.L. All authors have read and agreed to the published version of the manuscript. </w:t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Funding: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 This work is funded by the National Natural Science Foundation of China (22377056). </w:t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Institutional Review Board Statement: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Not applicable. </w:t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Informed Consent Statement: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Not applicable. </w:t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Data Availability Statement: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All the relevant data that support the findings of this study are avail-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able from the corresponding author on reasonable request. </w:t>
      </w:r>
    </w:p>
    <w:p>
      <w:pPr>
        <w:autoSpaceDN w:val="0"/>
        <w:autoSpaceDE w:val="0"/>
        <w:widowControl/>
        <w:spacing w:line="180" w:lineRule="auto" w:before="218" w:after="0"/>
        <w:ind w:left="2638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 xml:space="preserve">Conflicts of Interest: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Authors Xiaojue Shao, Yan Jiang were employed by the company Highbery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New Nano Materials Technology Co., Ltd. The remaining authors declare that the research was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conducted in the absence of any commercial or financial relationships that could be construed as a </w:t>
      </w:r>
    </w:p>
    <w:p>
      <w:pPr>
        <w:autoSpaceDN w:val="0"/>
        <w:autoSpaceDE w:val="0"/>
        <w:widowControl/>
        <w:spacing w:line="180" w:lineRule="auto" w:before="98" w:after="0"/>
        <w:ind w:left="2638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potential conflict of interest. </w:t>
      </w:r>
    </w:p>
    <w:p>
      <w:pPr>
        <w:sectPr>
          <w:pgSz w:w="11904" w:h="16840"/>
          <w:pgMar w:top="386" w:right="646" w:bottom="678" w:left="690" w:header="720" w:footer="720" w:gutter="0"/>
          <w:cols w:space="720" w:num="1" w:equalWidth="0">
            <w:col w:w="10568" w:space="0"/>
            <w:col w:w="10616" w:space="0"/>
            <w:col w:w="10566" w:space="0"/>
            <w:col w:w="10570" w:space="0"/>
            <w:col w:w="10568" w:space="0"/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282"/>
        <w:gridCol w:w="5282"/>
      </w:tblGrid>
      <w:tr>
        <w:trPr>
          <w:trHeight w:hRule="exact" w:val="268"/>
        </w:trPr>
        <w:tc>
          <w:tcPr>
            <w:tcW w:type="dxa" w:w="5790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73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10 of 11 </w:t>
            </w:r>
          </w:p>
        </w:tc>
      </w:tr>
    </w:tbl>
    <w:p>
      <w:pPr>
        <w:autoSpaceDN w:val="0"/>
        <w:autoSpaceDE w:val="0"/>
        <w:widowControl/>
        <w:spacing w:line="180" w:lineRule="auto" w:before="562" w:after="0"/>
        <w:ind w:left="30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24"/>
        </w:rPr>
        <w:t xml:space="preserve">References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15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Sun, X.; Huang, C.; Wang, L.; Liang, L.; Cheng, Y.; Fei, W.; Li, Y. Recent Progress in Graphene/Polymer Nanocomposites.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Adv.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Mater.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33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2001105. https://doi.org/10.1002/adma.202001105.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Perumal, S.; Atchudan, R.; Cheong, I.W. Recent Studies on Dispersion of Graphene–Polymer Composites.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Polymers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2021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2375. https://doi.org/10.3390/polym13142375.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3.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Iqbal, M.Z.; Abdala, A.A.; Mittal, V.; Seifert, S.; Herring, A.M.; Liberatore, M.W. Processable conductive graphene/polyethylene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nanocomposites: Effects of graphene dispersion and polyethylene blending with oxidized polyethylene on rheology and mi-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crostructure.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Polymer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2016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98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143–155. https://doi.org/10.1016/j.polymer.2016.06.021. </w:t>
      </w:r>
    </w:p>
    <w:p>
      <w:pPr>
        <w:autoSpaceDN w:val="0"/>
        <w:tabs>
          <w:tab w:pos="454" w:val="left"/>
        </w:tabs>
        <w:autoSpaceDE w:val="0"/>
        <w:widowControl/>
        <w:spacing w:line="257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4.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Rahman, M.M.; Khan, K.H.; Parvez, M.M.H.; Irizarry, N.; Uddin, M.N. Polymer Nanocomposites with Optimized Nanoparticle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Dispersion and Enhanced Functionalities for Industrial Applications.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Processes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2025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994. https://doi.org/10.3390/pr13040994.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5.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Wang, H.; Fu, Z.; Zhao, X.; Li, Y.; Li, J. Reactive Nanoparticles Compatibilized Immiscible Polymer Blends: Synthesis of Reactive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SiO</w:t>
      </w:r>
      <w:r>
        <w:rPr>
          <w:rFonts w:ascii="PalatinoLinotype" w:hAnsi="PalatinoLinotype" w:eastAsia="PalatinoLinotype"/>
          <w:b w:val="0"/>
          <w:i w:val="0"/>
          <w:color w:val="000000"/>
          <w:sz w:val="11"/>
        </w:rPr>
        <w:t>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 with Long Poly(methyl methacrylate) Chains and the in Situ Formation of Janus SiO</w:t>
      </w:r>
      <w:r>
        <w:rPr>
          <w:rFonts w:ascii="PalatinoLinotype" w:hAnsi="PalatinoLinotype" w:eastAsia="PalatinoLinotype"/>
          <w:b w:val="0"/>
          <w:i w:val="0"/>
          <w:color w:val="000000"/>
          <w:sz w:val="11"/>
        </w:rPr>
        <w:t>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 Nanoparticles Anchored Exclusively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at the Interface.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ACS Appl. Mater. Interfaces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9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14358–14370. https://doi.org/10.1021/acsami.7b01728.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6.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Tarannum, F.; Muthaiah, R.; Danayat, S.; Foley, K.; Annam, R.S.; Walters, K.B.; Garg, J. Chemically Edge-Carboxylated Gra-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phene Enhances the Thermal Conductivity of Polyetherimide–Graphene Nanocomposites.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ACS Appl. Mater. Interfaces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14753–14763. https://doi.org/10.1021/acsami.1c25279.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7.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Benyathiar, P.; Kumar, P.; Carpenter, G.; Brace, J.; Mishra, D.K. Polyethylene Terephthalate (PET) Bottle-to-Bottle Recycling for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the Beverage Industry: A Review.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Polymers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2366. https://doi.org/10.3390/polym14122366.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8.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Hufenus, R.; Yan, Y.; Dauner, M.; Kikutani, T. Melt-Spun Fibers for Textile Applications.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Materials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4298.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https://doi.org/10.3390/ma13194298.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9.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Scarano, D.; Cesano, F. Graphene and Other 2D Layered Nanomaterials and Hybrid Structures: Synthesis, Properties and Ap-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plications.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Materials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2021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7108. https://doi.org/10.3390/ma14237108.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6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10.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Xu, Q.; Wang, C.; Wang, B.; Chen, Y.; Wang, H. In situ polymerization and characterization of graphite nanoplatelet/poly(eth-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ylene terephthalate) nanocomposites for construction of melt-spun fibers.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RSC Adv.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33477–33485.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https://doi.org/10.1039/c7ra04770c. </w:t>
      </w:r>
    </w:p>
    <w:p>
      <w:pPr>
        <w:autoSpaceDN w:val="0"/>
        <w:tabs>
          <w:tab w:pos="454" w:val="left"/>
        </w:tabs>
        <w:autoSpaceDE w:val="0"/>
        <w:widowControl/>
        <w:spacing w:line="252" w:lineRule="auto" w:before="96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11.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Leon-Boigues, L.; Flores, A.; Gomez-Fatou, M.A.; Vega, J.F.; Ellis, G.J.; Salavagione, H.J. PET/Graphene Nanocomposite Fibers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Obtained by Dry-Jet Wet-Spinning for Conductive Textiles.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Polymers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15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1245. https://doi.org/10.3390/polym15051245.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12.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Gungordu Er, S.; Edirisinghe, M.; Tabish, T.A. Graphene-Based Nanocomposites as Antibacterial, Antiviral and Antifungal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Agents.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Adv. Healthc. Mater.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e2201523. https://doi.org/10.1002/adhm.202201523.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13.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Diez-Pascual, A.M.; Luceno-Sanchez, J.A. Antibacterial Activity of Polymer Nanocomposites Incorporating Graphene and Its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Derivatives: A State of Art.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Polymers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2021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13,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2105. https://doi.org/10.3390/polym13132105. </w:t>
      </w:r>
    </w:p>
    <w:p>
      <w:pPr>
        <w:autoSpaceDN w:val="0"/>
        <w:tabs>
          <w:tab w:pos="454" w:val="left"/>
          <w:tab w:pos="1082" w:val="left"/>
          <w:tab w:pos="1700" w:val="left"/>
          <w:tab w:pos="2728" w:val="left"/>
          <w:tab w:pos="3522" w:val="left"/>
          <w:tab w:pos="4570" w:val="left"/>
          <w:tab w:pos="5042" w:val="left"/>
          <w:tab w:pos="5720" w:val="left"/>
          <w:tab w:pos="6820" w:val="left"/>
          <w:tab w:pos="7484" w:val="left"/>
          <w:tab w:pos="8564" w:val="left"/>
          <w:tab w:pos="9284" w:val="left"/>
          <w:tab w:pos="9910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14.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Zhao, Y.; Du, J.; Zhou, H.; Zhou, S.; Lv, Y.; Cheng, Y.; Tao, Y.; Lu, J.; Wang, H. Biodegradable intelligent film for food preserva-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tion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and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real-time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visual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detection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of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food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freshness.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Food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Hydrocoll. </w:t>
      </w:r>
      <w:r>
        <w:tab/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129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107665.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https://doi.org/10.1016/j.foodhyd.2022.107665.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15.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Wang, J.; Lv, S.; Gui, X.; Yu, Y. Degradable rGO-MoS</w:t>
      </w:r>
      <w:r>
        <w:rPr>
          <w:rFonts w:ascii="PalatinoLinotype" w:hAnsi="PalatinoLinotype" w:eastAsia="PalatinoLinotype"/>
          <w:b w:val="0"/>
          <w:i w:val="0"/>
          <w:color w:val="000000"/>
          <w:sz w:val="11"/>
        </w:rPr>
        <w:t>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-Fe</w:t>
      </w:r>
      <w:r>
        <w:rPr>
          <w:rFonts w:ascii="PalatinoLinotype" w:hAnsi="PalatinoLinotype" w:eastAsia="PalatinoLinotype"/>
          <w:b w:val="0"/>
          <w:i w:val="0"/>
          <w:color w:val="000000"/>
          <w:sz w:val="11"/>
        </w:rPr>
        <w:t>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O</w:t>
      </w:r>
      <w:r>
        <w:rPr>
          <w:rFonts w:ascii="PalatinoLinotype" w:hAnsi="PalatinoLinotype" w:eastAsia="PalatinoLinotype"/>
          <w:b w:val="0"/>
          <w:i w:val="0"/>
          <w:color w:val="000000"/>
          <w:sz w:val="11"/>
        </w:rPr>
        <w:t>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 based carboxymethyl cellulose packaging films for fruit preserva-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tion.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Soft Mater.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22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139–148. https://doi.org/10.1080/1539445x.2024.2357995.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16.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Guo, J.; Khan, M.R.; Ahmad, N.; Zhang, W. Enhancing fruit preservation with sodium alginate films incorporating propolis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extract and graphene oxide.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Int. J. Biol. Macromol.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2025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288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138778. https://doi.org/10.1016/j.ijbiomac.2024.138778. </w:t>
      </w:r>
    </w:p>
    <w:p>
      <w:pPr>
        <w:autoSpaceDN w:val="0"/>
        <w:tabs>
          <w:tab w:pos="454" w:val="left"/>
          <w:tab w:pos="978" w:val="left"/>
          <w:tab w:pos="2026" w:val="left"/>
          <w:tab w:pos="2970" w:val="left"/>
          <w:tab w:pos="3734" w:val="left"/>
          <w:tab w:pos="4214" w:val="left"/>
          <w:tab w:pos="4784" w:val="left"/>
          <w:tab w:pos="5526" w:val="left"/>
          <w:tab w:pos="6034" w:val="left"/>
          <w:tab w:pos="7266" w:val="left"/>
          <w:tab w:pos="7818" w:val="left"/>
          <w:tab w:pos="8788" w:val="left"/>
          <w:tab w:pos="9394" w:val="left"/>
          <w:tab w:pos="9912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17.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Wu, L.; Lv, S.; Wei, D.; Zhang, S.; Zhang, S.; Li, Z.; Liu, L.; He, T. Structure and properties of starch/chitosan food packaging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film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containing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ultra-low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dosage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GO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with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barrier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and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antibacterial.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Food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Hydrocoll. </w:t>
      </w:r>
      <w:r>
        <w:tab/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137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108329.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https://doi.org/10.1016/j.foodhyd.2022.108329.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18.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Lan, W.; Wang, S.; Chen, M.; Sameen, D.E.; Lee, K.; Liu, Y. Developing poly(vinyl alcohol)/chitosan films incorporate with d-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limonene: Study of structural, antibacterial, and fruit preservation properties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. Int. J. Biol. Macromol.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145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722–732.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https://doi.org/10.1016/j.ijbiomac.2019.12.230.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19.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Singh, S.; Kumar, S.; Koh, J. Physicochemical and optical activity of chitosan based ternary nanocomposites for food packaging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applications.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J. Mol. Struct.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1311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138210. https://doi.org/10.1016/j.molstruc.2024.138210.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6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20.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Tiwari, A.; Tiwari, A.; Kumar, S.; Singh, S.; Dutta, P.K. Chapter 18—Perspectives for polymer-based antimicrobial films in food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packaging applications.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In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Nanobiotechnology for Food Processing and Packaging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; Academic Press: Cambridge, MA, USA, 2024; pp.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323–366. https://doi.org/10.1016/B978-0-323-91749-0.00024-1. </w:t>
      </w:r>
    </w:p>
    <w:p>
      <w:pPr>
        <w:sectPr>
          <w:pgSz w:w="11904" w:h="16840"/>
          <w:pgMar w:top="386" w:right="650" w:bottom="748" w:left="690" w:header="720" w:footer="720" w:gutter="0"/>
          <w:cols w:space="720" w:num="1" w:equalWidth="0">
            <w:col w:w="10564" w:space="0"/>
            <w:col w:w="10568" w:space="0"/>
            <w:col w:w="10616" w:space="0"/>
            <w:col w:w="10566" w:space="0"/>
            <w:col w:w="10570" w:space="0"/>
            <w:col w:w="10568" w:space="0"/>
            <w:col w:w="10568" w:space="0"/>
            <w:col w:w="10568" w:space="0"/>
            <w:col w:w="10568" w:space="0"/>
            <w:col w:w="4614" w:space="0"/>
            <w:col w:w="5954" w:space="0"/>
            <w:col w:w="1056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521"/>
        <w:gridCol w:w="3521"/>
        <w:gridCol w:w="3521"/>
      </w:tblGrid>
      <w:tr>
        <w:trPr>
          <w:trHeight w:hRule="exact" w:val="268"/>
        </w:trPr>
        <w:tc>
          <w:tcPr>
            <w:tcW w:type="dxa" w:w="5790"/>
            <w:gridSpan w:val="2"/>
            <w:tcBorders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30" w:right="0" w:firstLine="0"/>
              <w:jc w:val="left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>Molecules</w:t>
            </w: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6"/>
              </w:rPr>
              <w:t>2025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6"/>
              </w:rPr>
              <w:t xml:space="preserve"> 30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, 3109 </w:t>
            </w:r>
          </w:p>
        </w:tc>
        <w:tc>
          <w:tcPr>
            <w:tcW w:type="dxa" w:w="4736"/>
            <w:tcBorders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0" w:after="0"/>
              <w:ind w:left="0" w:right="0" w:firstLine="0"/>
              <w:jc w:val="righ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6"/>
              </w:rPr>
              <w:t xml:space="preserve">11 of 11 </w:t>
            </w:r>
          </w:p>
        </w:tc>
      </w:tr>
      <w:tr>
        <w:trPr>
          <w:trHeight w:hRule="exact" w:val="812"/>
        </w:trPr>
        <w:tc>
          <w:tcPr>
            <w:tcW w:type="dxa" w:w="350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2" w:lineRule="auto" w:before="576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>21.</w:t>
            </w:r>
          </w:p>
        </w:tc>
        <w:tc>
          <w:tcPr>
            <w:tcW w:type="dxa" w:w="10176"/>
            <w:gridSpan w:val="2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2" w:lineRule="auto" w:before="576" w:after="0"/>
              <w:ind w:left="104" w:right="0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Zhang, J.; Zou, X.; Zhai, X.; Huang, X.; Jiang, C.; Holmes, M. Preparation of an intelligent pH film based on biodegradable </w:t>
            </w:r>
          </w:p>
        </w:tc>
      </w:tr>
    </w:tbl>
    <w:p>
      <w:pPr>
        <w:autoSpaceDN w:val="0"/>
        <w:autoSpaceDE w:val="0"/>
        <w:widowControl/>
        <w:spacing w:line="245" w:lineRule="auto" w:before="48" w:after="0"/>
        <w:ind w:left="454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polymers and roselle anthocyanins for monitoring pork freshness.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Food Chem.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2019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272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, 306–312. https://doi.org/10.1016/j.food-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chem.2018.08.041.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22.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Zhou, X.; Hao, Y.; Li, Y.; Peng, J.; Wang, G.; Ong, W.J.; Li, N. MXenes: An emergent materials for packaging platforms and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looking beyond.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Nano Sel.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1123–1147. https://doi.org/10.1002/nano.202200023.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23.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Liu, Y.; Wang, S.; Lan, W.; Qin, W. Fabrication of polylactic acid/carbon nanotubes/chitosan composite fibers by electrospinning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for strawberry preservation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. Int. J. Biol. Macromol.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2019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121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1329–1336. https://doi.org/10.1016/j.ijbiomac.2018.09.042.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6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24.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Zhang, X.; Ismail, B.B.; Cheng, H.; Jin, T.Z.; Qian, M.; Arabi, S.A.; Liu, D.; Guo, M. Emerging chitosan-essential oil films and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coatings for food preservation—A review of advances and applications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. Carbohydr. Polym.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2021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273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118616.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https://doi.org/10.1016/j.carbpol.2021.118616.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6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25.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Wang, J.; Yuan, Y.; Liu, Y.; Li, X.; Wu, S. Application of chitosan in fruit preservation: A review.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Food Chem.: X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23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101589.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https://doi.org/10.1016/j.fochx.2024.101589. </w:t>
      </w:r>
    </w:p>
    <w:p>
      <w:pPr>
        <w:autoSpaceDN w:val="0"/>
        <w:autoSpaceDE w:val="0"/>
        <w:widowControl/>
        <w:spacing w:line="182" w:lineRule="auto" w:before="98" w:after="0"/>
        <w:ind w:left="0" w:right="0" w:firstLine="0"/>
        <w:jc w:val="center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Sanchez, J.A.; Materon, L.; Parsons, J.G.; Alcoutlabi, M. Synthesis, Characterization, and Antibacterial Activity of Graphene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26.</w:t>
      </w:r>
    </w:p>
    <w:p>
      <w:pPr>
        <w:autoSpaceDN w:val="0"/>
        <w:autoSpaceDE w:val="0"/>
        <w:widowControl/>
        <w:spacing w:line="180" w:lineRule="auto" w:before="96" w:after="0"/>
        <w:ind w:left="454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Oxide/Zinc Hydroxide Nanocomposites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. Appl. Sci.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6274. https://doi.org/10.3390/app14146274. </w:t>
      </w:r>
    </w:p>
    <w:p>
      <w:pPr>
        <w:autoSpaceDN w:val="0"/>
        <w:tabs>
          <w:tab w:pos="454" w:val="left"/>
          <w:tab w:pos="1530" w:val="left"/>
          <w:tab w:pos="2300" w:val="left"/>
          <w:tab w:pos="2790" w:val="left"/>
          <w:tab w:pos="3748" w:val="left"/>
          <w:tab w:pos="4340" w:val="left"/>
          <w:tab w:pos="5802" w:val="left"/>
          <w:tab w:pos="6908" w:val="left"/>
          <w:tab w:pos="7352" w:val="left"/>
          <w:tab w:pos="8012" w:val="left"/>
          <w:tab w:pos="8978" w:val="left"/>
          <w:tab w:pos="9670" w:val="left"/>
          <w:tab w:pos="10180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27.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Xing, L.; Wang, Y.; Wang, S.; Zhang, Y.; Mao, S.; Wang, G.; Liu, J.; Huang, L.; Li, H.; Belfiore, L.A.; et al. Effects of Modified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613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Graphene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Oxide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on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Thermal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and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Crystallization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Properties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of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PET.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Polymers </w:t>
      </w:r>
      <w:r>
        <w:tab/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2018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https://doi.org/10.3390/polym10060613.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28.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Wu, J.-B.; Lin, M.-L.; Cong, X.; Liu, H.-N.; Tan, P.-H. Raman spectroscopy of graphene-based materials and its applications in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related devices.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Chem. Soc. Rev.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2018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47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1822–1873. https://doi.org/10.1039/c6cs00915h.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6" w:after="48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29.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Vickery, W.M.; Lee, K.; Lee, S.M.; Orlando, J.D.; Sydlik, S.A. Plastic Composites from Repurposed Poly(ethylene terephthalate)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Wasted Functionalized Graphene Oxide through Dynamic Depolymerization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. ACS Appl. Nano Mater.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2024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3691–3701.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https://doi.org/10.1021/acsanm.3c05131.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rPr>
          <w:trHeight w:hRule="exact" w:val="280"/>
        </w:trPr>
        <w:tc>
          <w:tcPr>
            <w:tcW w:type="dxa" w:w="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>30.</w:t>
            </w:r>
          </w:p>
        </w:tc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Di </w:t>
            </w:r>
          </w:p>
        </w:tc>
        <w:tc>
          <w:tcPr>
            <w:tcW w:type="dxa" w:w="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Lorenzo,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M.L. 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Crystallization </w:t>
            </w:r>
          </w:p>
        </w:tc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of </w:t>
            </w:r>
          </w:p>
        </w:tc>
        <w:tc>
          <w:tcPr>
            <w:tcW w:type="dxa" w:w="1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Poly(ethylene 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terephthalate): </w:t>
            </w:r>
          </w:p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A </w:t>
            </w:r>
          </w:p>
        </w:tc>
        <w:tc>
          <w:tcPr>
            <w:tcW w:type="dxa" w:w="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>Review.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8"/>
              </w:rPr>
              <w:t xml:space="preserve">Polymers </w:t>
            </w:r>
          </w:p>
        </w:tc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,Bold" w:hAnsi="PalatinoLinotype,Bold" w:eastAsia="PalatinoLinotype,Bold"/>
                <w:b/>
                <w:i w:val="0"/>
                <w:color w:val="000000"/>
                <w:sz w:val="18"/>
              </w:rPr>
              <w:t>2024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, </w:t>
            </w:r>
          </w:p>
        </w:tc>
        <w:tc>
          <w:tcPr>
            <w:tcW w:type="dxa" w:w="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0" w:right="0" w:firstLine="0"/>
              <w:jc w:val="center"/>
            </w:pPr>
            <w:r>
              <w:rPr>
                <w:rFonts w:ascii="PalatinoLinotype,Italic" w:hAnsi="PalatinoLinotype,Italic" w:eastAsia="PalatinoLinotype,Italic"/>
                <w:b w:val="0"/>
                <w:i/>
                <w:color w:val="000000"/>
                <w:sz w:val="18"/>
              </w:rPr>
              <w:t>16</w:t>
            </w: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, </w:t>
            </w:r>
          </w:p>
        </w:tc>
        <w:tc>
          <w:tcPr>
            <w:tcW w:type="dxa" w:w="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0" w:lineRule="auto" w:before="48" w:after="0"/>
              <w:ind w:left="102" w:right="0" w:firstLine="0"/>
              <w:jc w:val="left"/>
            </w:pPr>
            <w:r>
              <w:rPr>
                <w:rFonts w:ascii="PalatinoLinotype" w:hAnsi="PalatinoLinotype" w:eastAsia="PalatinoLinotype"/>
                <w:b w:val="0"/>
                <w:i w:val="0"/>
                <w:color w:val="000000"/>
                <w:sz w:val="18"/>
              </w:rPr>
              <w:t xml:space="preserve">1975. </w:t>
            </w:r>
          </w:p>
        </w:tc>
      </w:tr>
    </w:tbl>
    <w:p>
      <w:pPr>
        <w:autoSpaceDN w:val="0"/>
        <w:autoSpaceDE w:val="0"/>
        <w:widowControl/>
        <w:spacing w:line="180" w:lineRule="auto" w:before="48" w:after="0"/>
        <w:ind w:left="454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https://doi.org/10.3390/polym16141975.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31.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Xu, Z.; Gao, C. In situ Polymerization Approach to Graphene-Reinforced Nylon-6 Composites.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Macromolecules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43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, 6716–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6723. https://doi.org/10.1021/ma1009337.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8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32.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Ahmad, V.; Ansari, M.O. Antimicrobial Activity of Graphene-Based Nanocomposites: Synthesis, Characterization, and Their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Applications for Human Welfare.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Nanomaterials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4002. https://doi.org/10.3390/nano12224002. </w:t>
      </w:r>
    </w:p>
    <w:p>
      <w:pPr>
        <w:autoSpaceDN w:val="0"/>
        <w:autoSpaceDE w:val="0"/>
        <w:widowControl/>
        <w:spacing w:line="180" w:lineRule="auto" w:before="96" w:after="0"/>
        <w:ind w:left="0" w:right="0" w:firstLine="0"/>
        <w:jc w:val="center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Butler, J.; Handy, R.D.; Upton, M.; Besinis, A. Review of Antimicrobial Nanocoatings in Medicine and Dentistry: Mechanisms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33.</w:t>
      </w:r>
    </w:p>
    <w:p>
      <w:pPr>
        <w:autoSpaceDN w:val="0"/>
        <w:autoSpaceDE w:val="0"/>
        <w:widowControl/>
        <w:spacing w:line="245" w:lineRule="auto" w:before="98" w:after="0"/>
        <w:ind w:left="454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of Action, Biocompatibility Performance, Safety, and Benefits Compared to Antibiotics.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ACS Nano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2023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17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7064–7092.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https://doi.org/10.1021/acsnano.2c12488. </w:t>
      </w:r>
    </w:p>
    <w:p>
      <w:pPr>
        <w:autoSpaceDN w:val="0"/>
        <w:tabs>
          <w:tab w:pos="454" w:val="left"/>
        </w:tabs>
        <w:autoSpaceDE w:val="0"/>
        <w:widowControl/>
        <w:spacing w:line="245" w:lineRule="auto" w:before="96" w:after="0"/>
        <w:ind w:left="30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34.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Chong, Y.; Ge, C.; Fang, G.; Tian, X.; Ma, X.; Wen, T.; Wamer, W.G.; Chen, C.; Chai, Z.; Yin, J.-J. Crossover between Anti- and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Pro-oxidant Activities of Graphene Quantum Dots in the Absence or Presence of Light.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ACS Nano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2016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10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8690–8699. </w:t>
      </w:r>
      <w:r>
        <w:tab/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https://doi.org/10.1021/acsnano.6b04061. </w:t>
      </w:r>
    </w:p>
    <w:p>
      <w:pPr>
        <w:autoSpaceDN w:val="0"/>
        <w:autoSpaceDE w:val="0"/>
        <w:widowControl/>
        <w:spacing w:line="180" w:lineRule="auto" w:before="96" w:after="0"/>
        <w:ind w:left="0" w:right="0" w:firstLine="0"/>
        <w:jc w:val="center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Guo, S.; Raya, J.; Ji, D.; Nishina, Y.; Ménard-Moyon, C.; Bianco, A.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Is carboxylation an efficient method for graphene oxide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35.</w:t>
      </w:r>
    </w:p>
    <w:p>
      <w:pPr>
        <w:autoSpaceDN w:val="0"/>
        <w:autoSpaceDE w:val="0"/>
        <w:widowControl/>
        <w:spacing w:line="180" w:lineRule="auto" w:before="98" w:after="0"/>
        <w:ind w:left="454" w:right="0" w:firstLine="0"/>
        <w:jc w:val="left"/>
      </w:pP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>functionalization?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 xml:space="preserve"> Nanoscale Adv. </w:t>
      </w: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2020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</w:t>
      </w:r>
      <w:r>
        <w:rPr>
          <w:rFonts w:ascii="PalatinoLinotype,Italic" w:hAnsi="PalatinoLinotype,Italic" w:eastAsia="PalatinoLinotype,Italic"/>
          <w:b w:val="0"/>
          <w:i/>
          <w:color w:val="000000"/>
          <w:sz w:val="18"/>
        </w:rPr>
        <w:t>2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, 4085–4092. https://doi.org/10.1039/d0na00561d. </w:t>
      </w:r>
    </w:p>
    <w:p>
      <w:pPr>
        <w:autoSpaceDN w:val="0"/>
        <w:autoSpaceDE w:val="0"/>
        <w:widowControl/>
        <w:spacing w:line="245" w:lineRule="auto" w:before="338" w:after="0"/>
        <w:ind w:left="30" w:right="0" w:firstLine="0"/>
        <w:jc w:val="left"/>
      </w:pPr>
      <w:r>
        <w:rPr>
          <w:rFonts w:ascii="PalatinoLinotype,Bold" w:hAnsi="PalatinoLinotype,Bold" w:eastAsia="PalatinoLinotype,Bold"/>
          <w:b/>
          <w:i w:val="0"/>
          <w:color w:val="000000"/>
          <w:sz w:val="18"/>
        </w:rPr>
        <w:t>Disclaimer/Publisher’s Note: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 The statements, opinions and data contained in all publications are solely those of the individual au-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thor(s) and contributor(s) and not of MDPI and/or the editor(s). MDPI and/or the editor(s) disclaim responsibility for any injury to </w:t>
      </w:r>
      <w:r>
        <w:rPr>
          <w:rFonts w:ascii="PalatinoLinotype" w:hAnsi="PalatinoLinotype" w:eastAsia="PalatinoLinotype"/>
          <w:b w:val="0"/>
          <w:i w:val="0"/>
          <w:color w:val="000000"/>
          <w:sz w:val="18"/>
        </w:rPr>
        <w:t xml:space="preserve">people or property resulting from any ideas, methods, instructions or products referred to in the content. </w:t>
      </w:r>
    </w:p>
    <w:sectPr w:rsidR="00FC693F" w:rsidRPr="0006063C" w:rsidSect="00034616">
      <w:pgSz w:w="11904" w:h="16840"/>
      <w:pgMar w:top="386" w:right="652" w:bottom="1440" w:left="690" w:header="720" w:footer="720" w:gutter="0"/>
      <w:cols w:space="720" w:num="1" w:equalWidth="0">
        <w:col w:w="10562" w:space="0"/>
        <w:col w:w="10564" w:space="0"/>
        <w:col w:w="10568" w:space="0"/>
        <w:col w:w="10616" w:space="0"/>
        <w:col w:w="10566" w:space="0"/>
        <w:col w:w="10570" w:space="0"/>
        <w:col w:w="10568" w:space="0"/>
        <w:col w:w="10568" w:space="0"/>
        <w:col w:w="10568" w:space="0"/>
        <w:col w:w="10568" w:space="0"/>
        <w:col w:w="4614" w:space="0"/>
        <w:col w:w="5954" w:space="0"/>
        <w:col w:w="10568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